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8C" w:rsidRPr="00B3078F" w:rsidRDefault="00612B8C" w:rsidP="00612B8C">
      <w:pPr>
        <w:ind w:left="720" w:hanging="720"/>
        <w:rPr>
          <w:rFonts w:ascii="Times New Roman" w:hAnsi="Times New Roman" w:cs="Times New Roman"/>
          <w:b/>
          <w:sz w:val="40"/>
          <w:szCs w:val="40"/>
          <w:u w:val="single"/>
        </w:rPr>
      </w:pPr>
      <w:r w:rsidRPr="00B3078F">
        <w:rPr>
          <w:rFonts w:ascii="Times New Roman" w:hAnsi="Times New Roman" w:cs="Times New Roman"/>
          <w:b/>
          <w:sz w:val="40"/>
          <w:szCs w:val="40"/>
          <w:u w:val="single"/>
        </w:rPr>
        <w:t>Research Plan</w:t>
      </w:r>
    </w:p>
    <w:p w:rsidR="00612B8C" w:rsidRPr="00B3078F" w:rsidRDefault="00612B8C" w:rsidP="00612B8C">
      <w:pPr>
        <w:ind w:left="720" w:hanging="720"/>
        <w:rPr>
          <w:rFonts w:ascii="Times New Roman" w:hAnsi="Times New Roman" w:cs="Times New Roman"/>
        </w:rPr>
      </w:pPr>
      <w:r w:rsidRPr="00B3078F">
        <w:rPr>
          <w:rFonts w:ascii="Times New Roman" w:hAnsi="Times New Roman" w:cs="Times New Roman"/>
          <w:b/>
        </w:rPr>
        <w:t>Thesis:</w:t>
      </w:r>
      <w:r w:rsidRPr="00B3078F">
        <w:rPr>
          <w:rFonts w:ascii="Times New Roman" w:hAnsi="Times New Roman" w:cs="Times New Roman"/>
        </w:rPr>
        <w:tab/>
        <w:t>Congress and the Courts often seek to limit Presidential War Powers, risking constitutional challenges, during peacetime.</w:t>
      </w:r>
    </w:p>
    <w:p w:rsidR="00B3078F" w:rsidRPr="00B3078F" w:rsidRDefault="00B3078F" w:rsidP="00612B8C">
      <w:pPr>
        <w:ind w:left="720" w:hanging="720"/>
        <w:rPr>
          <w:rFonts w:ascii="Times New Roman" w:hAnsi="Times New Roman" w:cs="Times New Roman"/>
        </w:rPr>
      </w:pPr>
      <w:r w:rsidRPr="00B3078F">
        <w:rPr>
          <w:rFonts w:ascii="Times New Roman" w:hAnsi="Times New Roman" w:cs="Times New Roman"/>
          <w:b/>
        </w:rPr>
        <w:t>Outline:</w:t>
      </w:r>
    </w:p>
    <w:p w:rsidR="00612B8C" w:rsidRPr="00B3078F" w:rsidRDefault="00612B8C" w:rsidP="00612B8C">
      <w:pPr>
        <w:pStyle w:val="ListParagraph"/>
        <w:numPr>
          <w:ilvl w:val="0"/>
          <w:numId w:val="3"/>
        </w:numPr>
        <w:rPr>
          <w:rFonts w:ascii="Times New Roman" w:hAnsi="Times New Roman" w:cs="Times New Roman"/>
        </w:rPr>
      </w:pPr>
      <w:r w:rsidRPr="00B3078F">
        <w:rPr>
          <w:rFonts w:ascii="Times New Roman" w:hAnsi="Times New Roman" w:cs="Times New Roman"/>
        </w:rPr>
        <w:t>Early Defense Philosophies</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It is almost impossible to understand American war powers without a background in the philosophy developed within a generation of the Founding.  </w:t>
      </w:r>
    </w:p>
    <w:p w:rsidR="00612B8C" w:rsidRPr="00B3078F" w:rsidRDefault="00612B8C" w:rsidP="00612B8C">
      <w:pPr>
        <w:pStyle w:val="ListParagraph"/>
        <w:numPr>
          <w:ilvl w:val="2"/>
          <w:numId w:val="3"/>
        </w:numPr>
        <w:rPr>
          <w:rFonts w:ascii="Times New Roman" w:hAnsi="Times New Roman" w:cs="Times New Roman"/>
        </w:rPr>
      </w:pPr>
      <w:r w:rsidRPr="00B3078F">
        <w:rPr>
          <w:rFonts w:ascii="Times New Roman" w:hAnsi="Times New Roman" w:cs="Times New Roman"/>
        </w:rPr>
        <w:t>Militarily, John Quincy Adams devised a three-pronged approach to security which served America well for two centuries.</w:t>
      </w:r>
    </w:p>
    <w:p w:rsidR="00612B8C" w:rsidRPr="00B3078F" w:rsidRDefault="00612B8C" w:rsidP="00612B8C">
      <w:pPr>
        <w:pStyle w:val="ListParagraph"/>
        <w:numPr>
          <w:ilvl w:val="2"/>
          <w:numId w:val="3"/>
        </w:numPr>
        <w:rPr>
          <w:rFonts w:ascii="Times New Roman" w:hAnsi="Times New Roman" w:cs="Times New Roman"/>
        </w:rPr>
      </w:pPr>
      <w:r w:rsidRPr="00B3078F">
        <w:rPr>
          <w:rFonts w:ascii="Times New Roman" w:hAnsi="Times New Roman" w:cs="Times New Roman"/>
        </w:rPr>
        <w:t xml:space="preserve">Presidents Jefferson and Eisenhower took the “natural defense” to the next level, the Louisiana Purchase and in the aftermath of World War II, respectively.  </w:t>
      </w:r>
    </w:p>
    <w:p w:rsidR="00612B8C" w:rsidRPr="00B3078F" w:rsidRDefault="00612B8C" w:rsidP="00612B8C">
      <w:pPr>
        <w:pStyle w:val="ListParagraph"/>
        <w:numPr>
          <w:ilvl w:val="0"/>
          <w:numId w:val="3"/>
        </w:numPr>
        <w:rPr>
          <w:rFonts w:ascii="Times New Roman" w:hAnsi="Times New Roman" w:cs="Times New Roman"/>
        </w:rPr>
      </w:pPr>
      <w:r w:rsidRPr="00B3078F">
        <w:rPr>
          <w:rFonts w:ascii="Times New Roman" w:hAnsi="Times New Roman" w:cs="Times New Roman"/>
        </w:rPr>
        <w:t>Presidential Hegemony</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From the outset of our nation, Presidents have seized—probably reluctantly-- on their Constitutional authority to wage war.  </w:t>
      </w:r>
    </w:p>
    <w:p w:rsidR="00612B8C" w:rsidRPr="00B3078F" w:rsidRDefault="00612B8C" w:rsidP="00612B8C">
      <w:pPr>
        <w:pStyle w:val="ListParagraph"/>
        <w:numPr>
          <w:ilvl w:val="2"/>
          <w:numId w:val="3"/>
        </w:numPr>
        <w:rPr>
          <w:rFonts w:ascii="Times New Roman" w:hAnsi="Times New Roman" w:cs="Times New Roman"/>
        </w:rPr>
      </w:pPr>
      <w:r w:rsidRPr="00B3078F">
        <w:rPr>
          <w:rFonts w:ascii="Times New Roman" w:hAnsi="Times New Roman" w:cs="Times New Roman"/>
        </w:rPr>
        <w:t>Presidential Historian Arthur M. Schlesinger observed, “the Founders were determined to deny the American President what Blackstone had assigned to the British King…the sole prerogative of making war and peace.”</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A Supreme Court case in 1863 demonstrates the judicial posture of the times.  As far as defense after attack was concerned, the President is “not only authorized, but bound to resist force.</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Lincoln, of course, famously surrounded himself with a brilliant Cabinet.  </w:t>
      </w:r>
    </w:p>
    <w:p w:rsidR="00612B8C" w:rsidRPr="00B3078F" w:rsidRDefault="00612B8C" w:rsidP="00612B8C">
      <w:pPr>
        <w:pStyle w:val="ListParagraph"/>
        <w:numPr>
          <w:ilvl w:val="0"/>
          <w:numId w:val="3"/>
        </w:numPr>
        <w:rPr>
          <w:rFonts w:ascii="Times New Roman" w:hAnsi="Times New Roman" w:cs="Times New Roman"/>
        </w:rPr>
      </w:pPr>
      <w:r w:rsidRPr="00B3078F">
        <w:rPr>
          <w:rFonts w:ascii="Times New Roman" w:hAnsi="Times New Roman" w:cs="Times New Roman"/>
        </w:rPr>
        <w:t>Congressional Oversight</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Napoleon Bonaparte famously said “armies march on their stomachs.”  Likewise, Congressmen vote on their political support.</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The War Powers Resolution has never been challenged on Constitutional grounds, on concerns the Supreme Court would find one way or another.  </w:t>
      </w:r>
    </w:p>
    <w:p w:rsidR="00612B8C" w:rsidRPr="00B3078F" w:rsidRDefault="00612B8C" w:rsidP="00612B8C">
      <w:pPr>
        <w:pStyle w:val="ListParagraph"/>
        <w:numPr>
          <w:ilvl w:val="2"/>
          <w:numId w:val="3"/>
        </w:numPr>
        <w:rPr>
          <w:rFonts w:ascii="Times New Roman" w:hAnsi="Times New Roman" w:cs="Times New Roman"/>
        </w:rPr>
      </w:pPr>
      <w:r w:rsidRPr="00B3078F">
        <w:rPr>
          <w:rFonts w:ascii="Times New Roman" w:hAnsi="Times New Roman" w:cs="Times New Roman"/>
        </w:rPr>
        <w:t>Thus, each President using military forces in the past 35 years denied submission while submitting to the law.</w:t>
      </w:r>
    </w:p>
    <w:p w:rsidR="00612B8C" w:rsidRPr="00B3078F" w:rsidRDefault="00612B8C" w:rsidP="00612B8C">
      <w:pPr>
        <w:pStyle w:val="ListParagraph"/>
        <w:numPr>
          <w:ilvl w:val="0"/>
          <w:numId w:val="3"/>
        </w:numPr>
        <w:rPr>
          <w:rFonts w:ascii="Times New Roman" w:hAnsi="Times New Roman" w:cs="Times New Roman"/>
        </w:rPr>
      </w:pPr>
      <w:r w:rsidRPr="00B3078F">
        <w:rPr>
          <w:rFonts w:ascii="Times New Roman" w:hAnsi="Times New Roman" w:cs="Times New Roman"/>
        </w:rPr>
        <w:t>Detention and Rendition in a Time of Terror</w:t>
      </w:r>
    </w:p>
    <w:p w:rsidR="00612B8C" w:rsidRPr="00B3078F" w:rsidRDefault="00612B8C"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Two of the controversial policies under President Bush dealt with prisoner detention at Guantanamo Bay, Cuba.  </w:t>
      </w:r>
    </w:p>
    <w:p w:rsidR="00612B8C" w:rsidRPr="00B3078F" w:rsidRDefault="00B3078F" w:rsidP="00612B8C">
      <w:pPr>
        <w:pStyle w:val="ListParagraph"/>
        <w:numPr>
          <w:ilvl w:val="1"/>
          <w:numId w:val="3"/>
        </w:numPr>
        <w:rPr>
          <w:rFonts w:ascii="Times New Roman" w:hAnsi="Times New Roman" w:cs="Times New Roman"/>
        </w:rPr>
      </w:pPr>
      <w:r w:rsidRPr="00B3078F">
        <w:rPr>
          <w:rFonts w:ascii="Times New Roman" w:hAnsi="Times New Roman" w:cs="Times New Roman"/>
        </w:rPr>
        <w:t xml:space="preserve">Through the end of the Second World War, the Supreme Court consistently affirmed the right of the President to establish military tribunals and detain Americans without trial.  </w:t>
      </w:r>
    </w:p>
    <w:p w:rsidR="00B3078F" w:rsidRPr="00B3078F" w:rsidRDefault="00B3078F" w:rsidP="00B3078F">
      <w:pPr>
        <w:pStyle w:val="ListParagraph"/>
        <w:numPr>
          <w:ilvl w:val="2"/>
          <w:numId w:val="3"/>
        </w:numPr>
        <w:rPr>
          <w:rFonts w:ascii="Times New Roman" w:hAnsi="Times New Roman" w:cs="Times New Roman"/>
        </w:rPr>
      </w:pPr>
      <w:r w:rsidRPr="00B3078F">
        <w:rPr>
          <w:rFonts w:ascii="Times New Roman" w:hAnsi="Times New Roman" w:cs="Times New Roman"/>
        </w:rPr>
        <w:t>While a historical glance back may tell where America was, the current state of policy in the area is impossible to determine.</w:t>
      </w:r>
    </w:p>
    <w:p w:rsidR="00B3078F" w:rsidRPr="00B3078F" w:rsidRDefault="00B3078F" w:rsidP="00B3078F">
      <w:pPr>
        <w:rPr>
          <w:rFonts w:ascii="Times New Roman" w:hAnsi="Times New Roman" w:cs="Times New Roman"/>
          <w:b/>
        </w:rPr>
      </w:pPr>
      <w:r w:rsidRPr="00B3078F">
        <w:rPr>
          <w:rFonts w:ascii="Times New Roman" w:hAnsi="Times New Roman" w:cs="Times New Roman"/>
          <w:b/>
        </w:rPr>
        <w:t>Bibliography:</w:t>
      </w: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Arthur M. Schlesinger, </w:t>
      </w:r>
      <w:r w:rsidRPr="00B3078F">
        <w:rPr>
          <w:rFonts w:ascii="Times New Roman" w:hAnsi="Times New Roman" w:cs="Times New Roman"/>
          <w:i/>
        </w:rPr>
        <w:t>The Imperial Presidency</w:t>
      </w:r>
      <w:r w:rsidRPr="00B3078F">
        <w:rPr>
          <w:rFonts w:ascii="Times New Roman" w:hAnsi="Times New Roman" w:cs="Times New Roman"/>
        </w:rPr>
        <w:t>, (Houghton Mifflin:  New York , 1973)</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John Gaddis, </w:t>
      </w:r>
      <w:r w:rsidRPr="00B3078F">
        <w:rPr>
          <w:rFonts w:ascii="Times New Roman" w:hAnsi="Times New Roman" w:cs="Times New Roman"/>
          <w:i/>
        </w:rPr>
        <w:t>Surprise, Security, and the American Experience</w:t>
      </w:r>
      <w:r w:rsidRPr="00B3078F">
        <w:rPr>
          <w:rFonts w:ascii="Times New Roman" w:hAnsi="Times New Roman" w:cs="Times New Roman"/>
        </w:rPr>
        <w:t xml:space="preserve"> (Cambridge, Mass: Harvard University Press, 2004).</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Macdonald and Bravin, </w:t>
      </w:r>
      <w:r w:rsidRPr="00B3078F">
        <w:rPr>
          <w:rFonts w:ascii="Times New Roman" w:hAnsi="Times New Roman" w:cs="Times New Roman"/>
          <w:i/>
        </w:rPr>
        <w:t>U.K. Plans to Pay 16 Ex-Detainees</w:t>
      </w:r>
      <w:r w:rsidRPr="00B3078F">
        <w:rPr>
          <w:rFonts w:ascii="Times New Roman" w:hAnsi="Times New Roman" w:cs="Times New Roman"/>
        </w:rPr>
        <w:t>, The Wall Street Journal, 11 November 2010.</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Richard Nixon, Veto, War Powers Resolution (Washington, D.C.) 1973.  </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Stephen Dycus, Arthur Berney, William Banks, et. al., </w:t>
      </w:r>
      <w:r w:rsidRPr="00B3078F">
        <w:rPr>
          <w:rFonts w:ascii="Times New Roman" w:hAnsi="Times New Roman" w:cs="Times New Roman"/>
          <w:i/>
        </w:rPr>
        <w:t>National Security Law</w:t>
      </w:r>
      <w:r w:rsidRPr="00B3078F">
        <w:rPr>
          <w:rFonts w:ascii="Times New Roman" w:hAnsi="Times New Roman" w:cs="Times New Roman"/>
        </w:rPr>
        <w:t xml:space="preserve"> (New York, Aspen Publishers, 2007).</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Thomas E. Watson, </w:t>
      </w:r>
      <w:r w:rsidRPr="00B3078F">
        <w:rPr>
          <w:rFonts w:ascii="Times New Roman" w:hAnsi="Times New Roman" w:cs="Times New Roman"/>
          <w:i/>
        </w:rPr>
        <w:t>The Life and Times of Thomas Jefferson</w:t>
      </w:r>
      <w:r w:rsidRPr="00B3078F">
        <w:rPr>
          <w:rFonts w:ascii="Times New Roman" w:hAnsi="Times New Roman" w:cs="Times New Roman"/>
        </w:rPr>
        <w:t>, (New York: New York, 1903).</w:t>
      </w:r>
    </w:p>
    <w:p w:rsidR="00B3078F" w:rsidRPr="00B3078F" w:rsidRDefault="00B3078F" w:rsidP="00B3078F">
      <w:pPr>
        <w:spacing w:after="0" w:line="240" w:lineRule="auto"/>
        <w:rPr>
          <w:rFonts w:ascii="Times New Roman" w:hAnsi="Times New Roman" w:cs="Times New Roman"/>
        </w:rPr>
      </w:pPr>
    </w:p>
    <w:p w:rsidR="00B3078F" w:rsidRPr="00B3078F" w:rsidRDefault="00B3078F" w:rsidP="00B3078F">
      <w:pPr>
        <w:spacing w:after="0" w:line="240" w:lineRule="auto"/>
        <w:rPr>
          <w:rFonts w:ascii="Times New Roman" w:hAnsi="Times New Roman" w:cs="Times New Roman"/>
        </w:rPr>
      </w:pPr>
      <w:r w:rsidRPr="00B3078F">
        <w:rPr>
          <w:rFonts w:ascii="Times New Roman" w:hAnsi="Times New Roman" w:cs="Times New Roman"/>
        </w:rPr>
        <w:t xml:space="preserve">William Whitting, </w:t>
      </w:r>
      <w:r w:rsidRPr="00B3078F">
        <w:rPr>
          <w:rFonts w:ascii="Times New Roman" w:hAnsi="Times New Roman" w:cs="Times New Roman"/>
          <w:i/>
        </w:rPr>
        <w:t>War Powers Under the Constitution of the United States</w:t>
      </w:r>
      <w:r w:rsidRPr="00B3078F">
        <w:rPr>
          <w:rFonts w:ascii="Times New Roman" w:hAnsi="Times New Roman" w:cs="Times New Roman"/>
        </w:rPr>
        <w:t>, (1862).</w:t>
      </w:r>
    </w:p>
    <w:p w:rsidR="00B3078F" w:rsidRPr="00B3078F" w:rsidRDefault="00B3078F" w:rsidP="00B3078F">
      <w:pPr>
        <w:spacing w:after="0"/>
        <w:rPr>
          <w:rFonts w:ascii="Times New Roman" w:hAnsi="Times New Roman" w:cs="Times New Roman"/>
        </w:rPr>
      </w:pPr>
    </w:p>
    <w:p w:rsidR="00B3078F" w:rsidRPr="00B3078F" w:rsidRDefault="00B3078F" w:rsidP="00B3078F">
      <w:pPr>
        <w:rPr>
          <w:rFonts w:ascii="Times New Roman" w:hAnsi="Times New Roman" w:cs="Times New Roman"/>
        </w:rPr>
      </w:pPr>
    </w:p>
    <w:sectPr w:rsidR="00B3078F" w:rsidRPr="00B3078F" w:rsidSect="00B3078F">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F88"/>
    <w:multiLevelType w:val="multilevel"/>
    <w:tmpl w:val="8CCCE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2831FE"/>
    <w:multiLevelType w:val="multilevel"/>
    <w:tmpl w:val="8CCCE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892E84"/>
    <w:multiLevelType w:val="multilevel"/>
    <w:tmpl w:val="8CCCE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612B8C"/>
    <w:rsid w:val="00612B8C"/>
    <w:rsid w:val="00AA5D7B"/>
    <w:rsid w:val="00B30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7B"/>
  </w:style>
  <w:style w:type="paragraph" w:styleId="Heading1">
    <w:name w:val="heading 1"/>
    <w:basedOn w:val="Normal"/>
    <w:next w:val="Normal"/>
    <w:link w:val="Heading1Char"/>
    <w:uiPriority w:val="9"/>
    <w:qFormat/>
    <w:rsid w:val="00612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2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2B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B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B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B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B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8C"/>
    <w:pPr>
      <w:ind w:left="720"/>
      <w:contextualSpacing/>
    </w:pPr>
  </w:style>
  <w:style w:type="character" w:customStyle="1" w:styleId="Heading1Char">
    <w:name w:val="Heading 1 Char"/>
    <w:basedOn w:val="DefaultParagraphFont"/>
    <w:link w:val="Heading1"/>
    <w:uiPriority w:val="9"/>
    <w:rsid w:val="00612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2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2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2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2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2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2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2B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2B8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Sparta R-III School District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LHubert</dc:creator>
  <cp:lastModifiedBy>LHubert</cp:lastModifiedBy>
  <cp:revision>1</cp:revision>
  <dcterms:created xsi:type="dcterms:W3CDTF">2012-05-04T14:13:00Z</dcterms:created>
  <dcterms:modified xsi:type="dcterms:W3CDTF">2012-05-04T14:25:00Z</dcterms:modified>
</cp:coreProperties>
</file>